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中建装饰集团所属各单位商务负责人岗位职责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及任职条件</w:t>
      </w:r>
    </w:p>
    <w:p>
      <w:pPr>
        <w:jc w:val="center"/>
        <w:rPr>
          <w:rFonts w:ascii="宋体" w:hAnsi="宋体" w:eastAsia="宋体" w:cstheme="minorBidi"/>
          <w:b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Calibri" w:eastAsia="仿宋_GB2312" w:cs="Calibri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</w:rPr>
        <w:t>一、招聘岗位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hAnsi="仿宋" w:eastAsia="仿宋_GB2312" w:cs="Calibri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</w:rPr>
        <w:t>中建装饰集团所属各单位商务负责人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  <w:lang w:val="en-US" w:eastAsia="zh-CN"/>
        </w:rPr>
        <w:t>（总经济师或副总经济师）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Calibri" w:eastAsia="仿宋_GB2312" w:cs="Calibri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 w:bidi="ar-SA"/>
        </w:rPr>
        <w:t>二、岗位职责</w:t>
      </w:r>
      <w:r>
        <w:rPr>
          <w:rFonts w:hint="eastAsia" w:ascii="仿宋_GB2312" w:hAnsi="Calibri" w:eastAsia="仿宋_GB2312" w:cs="Calibri"/>
          <w:b/>
          <w:bCs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hAnsi="仿宋" w:eastAsia="仿宋_GB2312" w:cs="Calibri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1）策划、制定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  <w:lang w:eastAsia="zh-CN"/>
        </w:rPr>
        <w:t>公司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年度商务、法务、物资设备管理工作目标，并组织实施；建立健全管理制度体系，负责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  <w:lang w:eastAsia="zh-CN"/>
        </w:rPr>
        <w:t>公司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大商务体系的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</w:rPr>
        <w:t>建设并持续完善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，总体管控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  <w:lang w:eastAsia="zh-CN"/>
        </w:rPr>
        <w:t>公司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成本管理、目标责任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</w:rPr>
        <w:t>管理、商务策划、合约管理、招采管理、结算管理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等工作，组织召开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  <w:lang w:eastAsia="zh-CN"/>
        </w:rPr>
        <w:t>公司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成本分析和定期经济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</w:rPr>
        <w:t>活动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分析会；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hAnsi="仿宋" w:eastAsia="仿宋_GB2312" w:cs="Calibri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2）负责构建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  <w:lang w:eastAsia="zh-CN"/>
        </w:rPr>
        <w:t>公司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分包分供招采体系的建立，牵头编制年度招采计划并组织实施，负责采购控制价、成本数据库、分包分供资源库等资源数据库的建立，创新招采模式，降低采购成本；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hAnsi="仿宋" w:eastAsia="仿宋_GB2312" w:cs="Calibri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3）负责分管范围内各项工作的标准化、信息化建设，依托大商务体系，建立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  <w:lang w:eastAsia="zh-CN"/>
        </w:rPr>
        <w:t>公司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全成本数据库，降本增效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_GB2312" w:hAnsi="仿宋" w:eastAsia="仿宋_GB2312" w:cs="Calibri"/>
          <w:sz w:val="32"/>
          <w:szCs w:val="32"/>
          <w:highlight w:val="none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仿宋" w:eastAsia="仿宋_GB2312" w:cs="Calibri"/>
          <w:kern w:val="0"/>
          <w:sz w:val="32"/>
          <w:szCs w:val="32"/>
          <w:highlight w:val="none"/>
        </w:rPr>
        <w:t>）负责分管体系的人才队伍建设，确保人才队伍建设质量符合公司要求，提升工程管理人员的业务素质；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 w:cs="Calibri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sz w:val="32"/>
          <w:szCs w:val="32"/>
          <w:highlight w:val="none"/>
        </w:rPr>
        <w:t>（</w:t>
      </w:r>
      <w:r>
        <w:rPr>
          <w:rFonts w:ascii="仿宋_GB2312" w:hAnsi="仿宋" w:eastAsia="仿宋_GB2312" w:cs="Calibri"/>
          <w:sz w:val="32"/>
          <w:szCs w:val="32"/>
          <w:highlight w:val="none"/>
        </w:rPr>
        <w:t>5</w:t>
      </w:r>
      <w:r>
        <w:rPr>
          <w:rFonts w:hint="eastAsia" w:ascii="仿宋_GB2312" w:hAnsi="仿宋" w:eastAsia="仿宋_GB2312" w:cs="Calibri"/>
          <w:sz w:val="32"/>
          <w:szCs w:val="32"/>
          <w:highlight w:val="none"/>
        </w:rPr>
        <w:t>）负责</w:t>
      </w:r>
      <w:r>
        <w:rPr>
          <w:rFonts w:hint="eastAsia" w:ascii="仿宋_GB2312" w:hAnsi="仿宋" w:eastAsia="仿宋_GB2312" w:cs="Calibri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" w:eastAsia="仿宋_GB2312" w:cs="Calibri"/>
          <w:sz w:val="32"/>
          <w:szCs w:val="32"/>
          <w:highlight w:val="none"/>
        </w:rPr>
        <w:t>法律纠纷案件管理工作。配合集团法律事务部参与相关案件协商处理。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Calibri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 w:bidi="ar-SA"/>
        </w:rPr>
        <w:t>三、任职资格</w:t>
      </w:r>
      <w:r>
        <w:rPr>
          <w:rFonts w:hint="eastAsia" w:ascii="仿宋_GB2312" w:hAnsi="仿宋" w:eastAsia="仿宋_GB2312" w:cs="Calibri"/>
          <w:b/>
          <w:bCs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担任商务负责人的，一般应具备中级经济管理类或中级建筑技术类以上职称，且具备以下条件之一：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（1）曾担任二级单位商务、财务等相关部门负责人及以上职务满1年；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（2）曾担任三级单位分管商务、财务的班子成员满1年；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（3）曾担任2个以上集团大型重点项目的项目经理、商务负责人。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A6"/>
    <w:rsid w:val="000A2723"/>
    <w:rsid w:val="002266C9"/>
    <w:rsid w:val="005F22B0"/>
    <w:rsid w:val="007E0FEB"/>
    <w:rsid w:val="00A451A6"/>
    <w:rsid w:val="00CB6637"/>
    <w:rsid w:val="1E3B1DEF"/>
    <w:rsid w:val="24D52B75"/>
    <w:rsid w:val="30526A71"/>
    <w:rsid w:val="5F781F39"/>
    <w:rsid w:val="740F5F77"/>
    <w:rsid w:val="7E9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518</Characters>
  <Lines>4</Lines>
  <Paragraphs>1</Paragraphs>
  <TotalTime>3</TotalTime>
  <ScaleCrop>false</ScaleCrop>
  <LinksUpToDate>false</LinksUpToDate>
  <CharactersWithSpaces>607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2020-11-30T09:50:00Z</dcterms:created>
  <dc:creator>admin</dc:creator>
  <cp:lastModifiedBy>古月</cp:lastModifiedBy>
  <dcterms:modified xsi:type="dcterms:W3CDTF">2022-02-09T08:06:57Z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DF39CB65B7CC43FDBE0376A42A50B2C2</vt:lpwstr>
  </property>
</Properties>
</file>