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9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岗位职责和任职资格</w:t>
      </w:r>
    </w:p>
    <w:p w14:paraId="06196F0B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办公楼维修改造岗（总部用房建设管理岗）（1人）</w:t>
      </w:r>
    </w:p>
    <w:p w14:paraId="7BCB8BA1">
      <w:pPr>
        <w:widowControl/>
        <w:spacing w:after="0" w:line="360" w:lineRule="auto"/>
        <w:jc w:val="both"/>
        <w:rPr>
          <w:rFonts w:hint="eastAsia" w:ascii="仿宋_GB2312" w:hAnsi="宋体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28"/>
          <w:szCs w:val="28"/>
        </w:rPr>
        <w:t>主要职责：</w:t>
      </w:r>
    </w:p>
    <w:p w14:paraId="3F1EE880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1）负责制定总部办公场所年度工程维护改造计划，上报年度工程预算，完成立项审批、报建报批等相关工作；</w:t>
      </w:r>
    </w:p>
    <w:p w14:paraId="726445B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2）负责按公司领导及总部各部门对总部办公场所的使用需求，提出维护改造意见，并组织相关单位制定实施方案；</w:t>
      </w:r>
    </w:p>
    <w:p w14:paraId="57F0BE2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3）负责总部办公场所工程建设过程中各相关单位所需资源的协调，包括总部各部门、楼宇商业管理单位、楼宇物业单位、参建单位等；</w:t>
      </w:r>
    </w:p>
    <w:p w14:paraId="14EFA4D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4）负责总部办公场所工程建设过程中质量、进度、安全、费用预算执行情况等监督管理；</w:t>
      </w:r>
    </w:p>
    <w:p w14:paraId="6EA0F5A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5）负责总部办公场所工程竣工验收、移交、项目结算等相关工作；</w:t>
      </w:r>
    </w:p>
    <w:p w14:paraId="4A84474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6）负责对总部办公场所环境品质提出控制要求，对楼宇物业公司工程维修、维护方面合同履行情况进行评估；</w:t>
      </w:r>
    </w:p>
    <w:p w14:paraId="393CDA1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7）负责总部产权房屋维修改造管理工作。</w:t>
      </w:r>
    </w:p>
    <w:p w14:paraId="5F1F2427">
      <w:pPr>
        <w:widowControl/>
        <w:spacing w:after="0" w:line="360" w:lineRule="auto"/>
        <w:jc w:val="both"/>
        <w:rPr>
          <w:rFonts w:hint="eastAsia" w:ascii="仿宋_GB2312" w:hAnsi="宋体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28"/>
          <w:szCs w:val="28"/>
        </w:rPr>
        <w:t>任职资格：</w:t>
      </w:r>
    </w:p>
    <w:p w14:paraId="188AAB5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1）年龄不超过35岁；</w:t>
      </w:r>
    </w:p>
    <w:p w14:paraId="2959A7B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2）大学及以上学历，建筑学、土木工程、工程管理等建筑工程类相关专业；</w:t>
      </w:r>
    </w:p>
    <w:p w14:paraId="60695AD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3）具备5年以上工作经验，3年以上工程项目管理或房地产开发相关基层经验；</w:t>
      </w:r>
    </w:p>
    <w:p w14:paraId="2362ADA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4）熟练掌握工程管理相关基础知识，掌握行业最新政策、知识、社会动态；</w:t>
      </w:r>
    </w:p>
    <w:p w14:paraId="6FDB8DF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5）熟悉国家及地方政府有关施工安全、质量、资料、试验、环保等工程行业管理政策、法律、法规及相关规定和解决办法；</w:t>
      </w:r>
    </w:p>
    <w:p w14:paraId="5A0935D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6）具有较强应变能力及现场管理能力；</w:t>
      </w:r>
    </w:p>
    <w:p w14:paraId="018D364F">
      <w:pPr>
        <w:spacing w:line="360" w:lineRule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7）具备较强的沟通协调能力、文字表达能力；</w:t>
      </w:r>
    </w:p>
    <w:p w14:paraId="1B4F493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8）中共党员优先，有多层次、多岗位经历者优先。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708323B-50B7-4CE6-B2A6-1E33B7FD7B5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6A083D-1E5E-48BD-B0E0-82886D282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WM0ZDE5ZGZkZTJjMTM0YmU0MmFiMmMxNWNlMmUifQ=="/>
  </w:docVars>
  <w:rsids>
    <w:rsidRoot w:val="71FA09C1"/>
    <w:rsid w:val="15B4486D"/>
    <w:rsid w:val="2DA27A6B"/>
    <w:rsid w:val="300A35B0"/>
    <w:rsid w:val="56F91B04"/>
    <w:rsid w:val="71FA09C1"/>
    <w:rsid w:val="785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2024-08-09T07:35:00Z</dcterms:created>
  <dc:creator>马高峰</dc:creator>
  <cp:lastModifiedBy>马高峰</cp:lastModifiedBy>
  <dcterms:modified xsi:type="dcterms:W3CDTF">2024-08-09T07:40:20Z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BABAFC7252774B888B3486EEFA71689C_11</vt:lpwstr>
  </property>
</Properties>
</file>